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6971" w:type="dxa"/>
        <w:tblCellSpacing w:w="15" w:type="dxa"/>
        <w:shd w:val="clear" w:color="auto" w:fill="FFFFFF"/>
        <w:tblCellMar>
          <w:top w:w="15" w:type="dxa"/>
          <w:left w:w="15" w:type="dxa"/>
          <w:bottom w:w="15" w:type="dxa"/>
          <w:right w:w="15" w:type="dxa"/>
        </w:tblCellMar>
        <w:tblLook w:val="04A0" w:firstRow="1" w:lastRow="0" w:firstColumn="1" w:lastColumn="0" w:noHBand="0" w:noVBand="1"/>
        <w:tblDescription w:val=""/>
      </w:tblPr>
      <w:tblGrid>
        <w:gridCol w:w="16971"/>
      </w:tblGrid>
      <w:tr w:rsidR="002A3E96" w:rsidRPr="002A3E96" w14:paraId="670BCCF3" w14:textId="77777777" w:rsidTr="002A3E96">
        <w:trPr>
          <w:tblCellSpacing w:w="15" w:type="dxa"/>
        </w:trPr>
        <w:tc>
          <w:tcPr>
            <w:tcW w:w="0" w:type="auto"/>
            <w:shd w:val="clear" w:color="auto" w:fill="FFF9E0"/>
            <w:vAlign w:val="center"/>
            <w:hideMark/>
          </w:tcPr>
          <w:p w14:paraId="60C7DF40" w14:textId="77777777" w:rsidR="002A3E96" w:rsidRPr="002A3E96" w:rsidRDefault="002A3E96" w:rsidP="002A3E96">
            <w:proofErr w:type="spellStart"/>
            <w:r w:rsidRPr="002A3E96">
              <w:t>Classpath</w:t>
            </w:r>
            <w:proofErr w:type="spellEnd"/>
            <w:r w:rsidRPr="002A3E96">
              <w:t xml:space="preserve"> is distributed under the terms of the </w:t>
            </w:r>
            <w:hyperlink r:id="rId5" w:history="1">
              <w:r w:rsidRPr="002A3E96">
                <w:rPr>
                  <w:rStyle w:val="Hyperlink"/>
                </w:rPr>
                <w:t>GNU General Public License</w:t>
              </w:r>
            </w:hyperlink>
            <w:r w:rsidRPr="002A3E96">
              <w:t> with the following clarification and special exception.</w:t>
            </w:r>
          </w:p>
          <w:p w14:paraId="6ECC938E" w14:textId="77777777" w:rsidR="002A3E96" w:rsidRPr="002A3E96" w:rsidRDefault="002A3E96" w:rsidP="002A3E96">
            <w:r w:rsidRPr="002A3E96">
              <w:t>Linking this library statically or dynamically with other modules is making a combined work based on this library. Thus, the terms and conditions of the GNU General Public License cover the whole combination.</w:t>
            </w:r>
          </w:p>
          <w:p w14:paraId="3945B1B6" w14:textId="77777777" w:rsidR="002A3E96" w:rsidRPr="002A3E96" w:rsidRDefault="002A3E96" w:rsidP="002A3E96">
            <w:r w:rsidRPr="002A3E96">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r>
          </w:p>
          <w:p w14:paraId="41BF6829" w14:textId="77777777" w:rsidR="002A3E96" w:rsidRPr="002A3E96" w:rsidRDefault="002A3E96" w:rsidP="002A3E96">
            <w:r w:rsidRPr="002A3E96">
              <w:t xml:space="preserve">As such, it can be used to run, create and distribute a large class of applications and applets. When GNU </w:t>
            </w:r>
            <w:proofErr w:type="spellStart"/>
            <w:r w:rsidRPr="002A3E96">
              <w:t>Classpath</w:t>
            </w:r>
            <w:proofErr w:type="spellEnd"/>
            <w:r w:rsidRPr="002A3E96">
              <w:t xml:space="preserve"> is used unmodified as the core class library for a virtual machine, compiler for the java </w:t>
            </w:r>
            <w:proofErr w:type="spellStart"/>
            <w:r w:rsidRPr="002A3E96">
              <w:t>languge</w:t>
            </w:r>
            <w:proofErr w:type="spellEnd"/>
            <w:r w:rsidRPr="002A3E96">
              <w:t>, or for a program written in the java programming language it does not affect the licensing for distributing those programs directly.</w:t>
            </w:r>
          </w:p>
        </w:tc>
      </w:tr>
      <w:tr w:rsidR="002A3E96" w:rsidRPr="002A3E96" w14:paraId="22E4B769" w14:textId="77777777" w:rsidTr="002A3E96">
        <w:trPr>
          <w:tblCellSpacing w:w="15" w:type="dxa"/>
        </w:trPr>
        <w:tc>
          <w:tcPr>
            <w:tcW w:w="0" w:type="auto"/>
            <w:shd w:val="clear" w:color="auto" w:fill="FFFFFF"/>
            <w:vAlign w:val="center"/>
            <w:hideMark/>
          </w:tcPr>
          <w:p w14:paraId="4AC2813C" w14:textId="77777777" w:rsidR="002A3E96" w:rsidRPr="002A3E96" w:rsidRDefault="002A3E96" w:rsidP="002A3E96"/>
        </w:tc>
      </w:tr>
      <w:tr w:rsidR="002A3E96" w:rsidRPr="002A3E96" w14:paraId="798D05CE" w14:textId="77777777" w:rsidTr="002A3E96">
        <w:trPr>
          <w:tblCellSpacing w:w="15" w:type="dxa"/>
        </w:trPr>
        <w:tc>
          <w:tcPr>
            <w:tcW w:w="0" w:type="auto"/>
            <w:shd w:val="clear" w:color="auto" w:fill="EDDB5A"/>
            <w:vAlign w:val="center"/>
            <w:hideMark/>
          </w:tcPr>
          <w:p w14:paraId="3B5CFE1A" w14:textId="77777777" w:rsidR="002A3E96" w:rsidRPr="002A3E96" w:rsidRDefault="002A3E96" w:rsidP="002A3E96">
            <w:pPr>
              <w:rPr>
                <w:b/>
                <w:bCs/>
              </w:rPr>
            </w:pPr>
            <w:bookmarkStart w:id="0" w:name="documentation"/>
            <w:proofErr w:type="spellStart"/>
            <w:proofErr w:type="gramStart"/>
            <w:r w:rsidRPr="002A3E96">
              <w:rPr>
                <w:b/>
                <w:bCs/>
              </w:rPr>
              <w:t>Classpath</w:t>
            </w:r>
            <w:proofErr w:type="spellEnd"/>
            <w:r w:rsidRPr="002A3E96">
              <w:rPr>
                <w:b/>
                <w:bCs/>
              </w:rPr>
              <w:t>::</w:t>
            </w:r>
            <w:proofErr w:type="gramEnd"/>
            <w:r w:rsidRPr="002A3E96">
              <w:rPr>
                <w:b/>
                <w:bCs/>
              </w:rPr>
              <w:t>Documentation Redistribution Policy</w:t>
            </w:r>
            <w:bookmarkEnd w:id="0"/>
          </w:p>
        </w:tc>
      </w:tr>
      <w:tr w:rsidR="002A3E96" w:rsidRPr="002A3E96" w14:paraId="44D87D80" w14:textId="77777777" w:rsidTr="002A3E96">
        <w:trPr>
          <w:tblCellSpacing w:w="15" w:type="dxa"/>
        </w:trPr>
        <w:tc>
          <w:tcPr>
            <w:tcW w:w="0" w:type="auto"/>
            <w:shd w:val="clear" w:color="auto" w:fill="FFFFFF"/>
            <w:vAlign w:val="center"/>
            <w:hideMark/>
          </w:tcPr>
          <w:p w14:paraId="3224B24A" w14:textId="77777777" w:rsidR="002A3E96" w:rsidRPr="002A3E96" w:rsidRDefault="002A3E96" w:rsidP="002A3E96">
            <w:pPr>
              <w:rPr>
                <w:b/>
                <w:bCs/>
              </w:rPr>
            </w:pPr>
          </w:p>
        </w:tc>
      </w:tr>
      <w:tr w:rsidR="002A3E96" w:rsidRPr="002A3E96" w14:paraId="5BE24BC5" w14:textId="77777777" w:rsidTr="002A3E96">
        <w:trPr>
          <w:tblCellSpacing w:w="15" w:type="dxa"/>
        </w:trPr>
        <w:tc>
          <w:tcPr>
            <w:tcW w:w="0" w:type="auto"/>
            <w:shd w:val="clear" w:color="auto" w:fill="FFF9E0"/>
            <w:vAlign w:val="center"/>
            <w:hideMark/>
          </w:tcPr>
          <w:p w14:paraId="40536F51" w14:textId="77777777" w:rsidR="002A3E96" w:rsidRPr="002A3E96" w:rsidRDefault="002A3E96" w:rsidP="002A3E96">
            <w:r w:rsidRPr="002A3E96">
              <w:t>GNU Documentation is unique because of our attitude towards it. We believe the reader should be free to copy and redistribute it, just like our software. Originally, all our documentation was released under a short </w:t>
            </w:r>
            <w:hyperlink r:id="rId6" w:anchor="WhatIsCopyleft" w:history="1">
              <w:r w:rsidRPr="002A3E96">
                <w:rPr>
                  <w:rStyle w:val="Hyperlink"/>
                </w:rPr>
                <w:t>Copyleft</w:t>
              </w:r>
            </w:hyperlink>
            <w:r w:rsidRPr="002A3E96">
              <w:t> license, or under the </w:t>
            </w:r>
            <w:hyperlink r:id="rId7" w:anchor="GPL" w:history="1">
              <w:r w:rsidRPr="002A3E96">
                <w:rPr>
                  <w:rStyle w:val="Hyperlink"/>
                </w:rPr>
                <w:t>GNU General Public License (GPL)</w:t>
              </w:r>
            </w:hyperlink>
            <w:r w:rsidRPr="002A3E96">
              <w:t> itself; in 2001 the </w:t>
            </w:r>
            <w:hyperlink r:id="rId8" w:anchor="FDL" w:history="1">
              <w:r w:rsidRPr="002A3E96">
                <w:rPr>
                  <w:rStyle w:val="Hyperlink"/>
                </w:rPr>
                <w:t>Free Documentation License (FDL)</w:t>
              </w:r>
            </w:hyperlink>
            <w:r w:rsidRPr="002A3E96">
              <w:t> was created to address certain needs that were not met by licenses originally designed for software.</w:t>
            </w:r>
          </w:p>
        </w:tc>
      </w:tr>
      <w:tr w:rsidR="002A3E96" w:rsidRPr="002A3E96" w14:paraId="6E02F4D2" w14:textId="77777777" w:rsidTr="002A3E96">
        <w:trPr>
          <w:tblCellSpacing w:w="15" w:type="dxa"/>
        </w:trPr>
        <w:tc>
          <w:tcPr>
            <w:tcW w:w="0" w:type="auto"/>
            <w:shd w:val="clear" w:color="auto" w:fill="FFFFFF"/>
            <w:vAlign w:val="center"/>
            <w:hideMark/>
          </w:tcPr>
          <w:p w14:paraId="13819A23" w14:textId="77777777" w:rsidR="002A3E96" w:rsidRPr="002A3E96" w:rsidRDefault="002A3E96" w:rsidP="002A3E96"/>
        </w:tc>
      </w:tr>
    </w:tbl>
    <w:p w14:paraId="7FF1D0C1" w14:textId="77777777" w:rsidR="00192C4E" w:rsidRPr="002A3E96" w:rsidRDefault="00192C4E" w:rsidP="002A3E96"/>
    <w:sectPr w:rsidR="00192C4E" w:rsidRPr="002A3E96" w:rsidSect="002A3E96">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202277"/>
    <w:multiLevelType w:val="multilevel"/>
    <w:tmpl w:val="B8DC5B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A3F4D56"/>
    <w:multiLevelType w:val="multilevel"/>
    <w:tmpl w:val="2904D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BF979EA"/>
    <w:multiLevelType w:val="multilevel"/>
    <w:tmpl w:val="91F044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C7148BD"/>
    <w:multiLevelType w:val="multilevel"/>
    <w:tmpl w:val="8676F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44610221">
    <w:abstractNumId w:val="0"/>
  </w:num>
  <w:num w:numId="2" w16cid:durableId="1701668126">
    <w:abstractNumId w:val="1"/>
  </w:num>
  <w:num w:numId="3" w16cid:durableId="1346328444">
    <w:abstractNumId w:val="2"/>
  </w:num>
  <w:num w:numId="4" w16cid:durableId="13716077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16A9"/>
    <w:rsid w:val="00084E98"/>
    <w:rsid w:val="000B468E"/>
    <w:rsid w:val="00192C4E"/>
    <w:rsid w:val="002A3E96"/>
    <w:rsid w:val="007B35DD"/>
    <w:rsid w:val="00904AEE"/>
    <w:rsid w:val="00AB5088"/>
    <w:rsid w:val="00EC16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1FA67"/>
  <w15:chartTrackingRefBased/>
  <w15:docId w15:val="{41BAD01E-023D-4E7F-95A3-84FA0539E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C16A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C16A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C16A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C16A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C16A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C16A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C16A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C16A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C16A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16A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C16A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C16A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C16A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C16A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C16A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C16A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C16A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C16A9"/>
    <w:rPr>
      <w:rFonts w:eastAsiaTheme="majorEastAsia" w:cstheme="majorBidi"/>
      <w:color w:val="272727" w:themeColor="text1" w:themeTint="D8"/>
    </w:rPr>
  </w:style>
  <w:style w:type="paragraph" w:styleId="Title">
    <w:name w:val="Title"/>
    <w:basedOn w:val="Normal"/>
    <w:next w:val="Normal"/>
    <w:link w:val="TitleChar"/>
    <w:uiPriority w:val="10"/>
    <w:qFormat/>
    <w:rsid w:val="00EC16A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C16A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C16A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C16A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C16A9"/>
    <w:pPr>
      <w:spacing w:before="160"/>
      <w:jc w:val="center"/>
    </w:pPr>
    <w:rPr>
      <w:i/>
      <w:iCs/>
      <w:color w:val="404040" w:themeColor="text1" w:themeTint="BF"/>
    </w:rPr>
  </w:style>
  <w:style w:type="character" w:customStyle="1" w:styleId="QuoteChar">
    <w:name w:val="Quote Char"/>
    <w:basedOn w:val="DefaultParagraphFont"/>
    <w:link w:val="Quote"/>
    <w:uiPriority w:val="29"/>
    <w:rsid w:val="00EC16A9"/>
    <w:rPr>
      <w:i/>
      <w:iCs/>
      <w:color w:val="404040" w:themeColor="text1" w:themeTint="BF"/>
    </w:rPr>
  </w:style>
  <w:style w:type="paragraph" w:styleId="ListParagraph">
    <w:name w:val="List Paragraph"/>
    <w:basedOn w:val="Normal"/>
    <w:uiPriority w:val="34"/>
    <w:qFormat/>
    <w:rsid w:val="00EC16A9"/>
    <w:pPr>
      <w:ind w:left="720"/>
      <w:contextualSpacing/>
    </w:pPr>
  </w:style>
  <w:style w:type="character" w:styleId="IntenseEmphasis">
    <w:name w:val="Intense Emphasis"/>
    <w:basedOn w:val="DefaultParagraphFont"/>
    <w:uiPriority w:val="21"/>
    <w:qFormat/>
    <w:rsid w:val="00EC16A9"/>
    <w:rPr>
      <w:i/>
      <w:iCs/>
      <w:color w:val="0F4761" w:themeColor="accent1" w:themeShade="BF"/>
    </w:rPr>
  </w:style>
  <w:style w:type="paragraph" w:styleId="IntenseQuote">
    <w:name w:val="Intense Quote"/>
    <w:basedOn w:val="Normal"/>
    <w:next w:val="Normal"/>
    <w:link w:val="IntenseQuoteChar"/>
    <w:uiPriority w:val="30"/>
    <w:qFormat/>
    <w:rsid w:val="00EC16A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C16A9"/>
    <w:rPr>
      <w:i/>
      <w:iCs/>
      <w:color w:val="0F4761" w:themeColor="accent1" w:themeShade="BF"/>
    </w:rPr>
  </w:style>
  <w:style w:type="character" w:styleId="IntenseReference">
    <w:name w:val="Intense Reference"/>
    <w:basedOn w:val="DefaultParagraphFont"/>
    <w:uiPriority w:val="32"/>
    <w:qFormat/>
    <w:rsid w:val="00EC16A9"/>
    <w:rPr>
      <w:b/>
      <w:bCs/>
      <w:smallCaps/>
      <w:color w:val="0F4761" w:themeColor="accent1" w:themeShade="BF"/>
      <w:spacing w:val="5"/>
    </w:rPr>
  </w:style>
  <w:style w:type="character" w:styleId="Hyperlink">
    <w:name w:val="Hyperlink"/>
    <w:basedOn w:val="DefaultParagraphFont"/>
    <w:uiPriority w:val="99"/>
    <w:unhideWhenUsed/>
    <w:rsid w:val="002A3E96"/>
    <w:rPr>
      <w:color w:val="467886" w:themeColor="hyperlink"/>
      <w:u w:val="single"/>
    </w:rPr>
  </w:style>
  <w:style w:type="character" w:styleId="UnresolvedMention">
    <w:name w:val="Unresolved Mention"/>
    <w:basedOn w:val="DefaultParagraphFont"/>
    <w:uiPriority w:val="99"/>
    <w:semiHidden/>
    <w:unhideWhenUsed/>
    <w:rsid w:val="002A3E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425656">
      <w:bodyDiv w:val="1"/>
      <w:marLeft w:val="0"/>
      <w:marRight w:val="0"/>
      <w:marTop w:val="0"/>
      <w:marBottom w:val="0"/>
      <w:divBdr>
        <w:top w:val="none" w:sz="0" w:space="0" w:color="auto"/>
        <w:left w:val="none" w:sz="0" w:space="0" w:color="auto"/>
        <w:bottom w:val="none" w:sz="0" w:space="0" w:color="auto"/>
        <w:right w:val="none" w:sz="0" w:space="0" w:color="auto"/>
      </w:divBdr>
      <w:divsChild>
        <w:div w:id="6494787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47134011">
      <w:bodyDiv w:val="1"/>
      <w:marLeft w:val="0"/>
      <w:marRight w:val="0"/>
      <w:marTop w:val="0"/>
      <w:marBottom w:val="0"/>
      <w:divBdr>
        <w:top w:val="none" w:sz="0" w:space="0" w:color="auto"/>
        <w:left w:val="none" w:sz="0" w:space="0" w:color="auto"/>
        <w:bottom w:val="none" w:sz="0" w:space="0" w:color="auto"/>
        <w:right w:val="none" w:sz="0" w:space="0" w:color="auto"/>
      </w:divBdr>
      <w:divsChild>
        <w:div w:id="8209246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12141389">
      <w:bodyDiv w:val="1"/>
      <w:marLeft w:val="0"/>
      <w:marRight w:val="0"/>
      <w:marTop w:val="0"/>
      <w:marBottom w:val="0"/>
      <w:divBdr>
        <w:top w:val="none" w:sz="0" w:space="0" w:color="auto"/>
        <w:left w:val="none" w:sz="0" w:space="0" w:color="auto"/>
        <w:bottom w:val="none" w:sz="0" w:space="0" w:color="auto"/>
        <w:right w:val="none" w:sz="0" w:space="0" w:color="auto"/>
      </w:divBdr>
      <w:divsChild>
        <w:div w:id="1525242745">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1911380018">
      <w:bodyDiv w:val="1"/>
      <w:marLeft w:val="0"/>
      <w:marRight w:val="0"/>
      <w:marTop w:val="0"/>
      <w:marBottom w:val="0"/>
      <w:divBdr>
        <w:top w:val="none" w:sz="0" w:space="0" w:color="auto"/>
        <w:left w:val="none" w:sz="0" w:space="0" w:color="auto"/>
        <w:bottom w:val="none" w:sz="0" w:space="0" w:color="auto"/>
        <w:right w:val="none" w:sz="0" w:space="0" w:color="auto"/>
      </w:divBdr>
      <w:divsChild>
        <w:div w:id="629670838">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nu.org/licenses/licenses.html" TargetMode="External"/><Relationship Id="rId3" Type="http://schemas.openxmlformats.org/officeDocument/2006/relationships/settings" Target="settings.xml"/><Relationship Id="rId7" Type="http://schemas.openxmlformats.org/officeDocument/2006/relationships/hyperlink" Target="https://www.gnu.org/licenses/license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nu.org/licenses/licenses.html" TargetMode="External"/><Relationship Id="rId5" Type="http://schemas.openxmlformats.org/officeDocument/2006/relationships/hyperlink" Target="https://www.gnu.org/copyleft/gpl.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321</Words>
  <Characters>1831</Characters>
  <DocSecurity>0</DocSecurity>
  <Lines>15</Lines>
  <Paragraphs>4</Paragraphs>
  <ScaleCrop>false</ScaleCrop>
  <LinksUpToDate>false</LinksUpToDate>
  <CharactersWithSpaces>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2025-09-15T20:18:00Z</dcterms:created>
  <dcterms:modified xsi:type="dcterms:W3CDTF">2025-09-15T20:18:00Z</dcterms:modified>
</cp:coreProperties>
</file>